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eastAsiaTheme="minorEastAsia"/>
          <w:b/>
          <w:iCs/>
          <w:sz w:val="24"/>
          <w:szCs w:val="18"/>
          <w:highlight w:val="none"/>
          <w:lang w:val="en-US" w:eastAsia="zh-CN"/>
        </w:rPr>
      </w:pPr>
      <w:r>
        <w:rPr>
          <w:rFonts w:cs="Arial"/>
          <w:b/>
          <w:bCs/>
          <w:sz w:val="24"/>
          <w:szCs w:val="24"/>
        </w:rPr>
        <w:t>3GPP TSG-RAN WG3 Meeting #11</w:t>
      </w:r>
      <w:r>
        <w:rPr>
          <w:rFonts w:cs="Arial"/>
          <w:b/>
          <w:bCs/>
          <w:sz w:val="24"/>
          <w:szCs w:val="24"/>
          <w:lang w:val="en-US"/>
        </w:rPr>
        <w:t>9</w:t>
      </w:r>
      <w:r>
        <w:rPr>
          <w:b/>
          <w:i/>
          <w:sz w:val="28"/>
        </w:rPr>
        <w:tab/>
      </w:r>
      <w:r>
        <w:rPr>
          <w:b/>
          <w:iCs/>
          <w:sz w:val="24"/>
          <w:szCs w:val="18"/>
        </w:rPr>
        <w:t xml:space="preserve">         </w:t>
      </w:r>
      <w:r>
        <w:rPr>
          <w:b/>
          <w:iCs/>
          <w:sz w:val="24"/>
          <w:szCs w:val="18"/>
          <w:highlight w:val="none"/>
        </w:rPr>
        <w:t xml:space="preserve"> </w:t>
      </w:r>
      <w:r>
        <w:rPr>
          <w:rFonts w:hint="eastAsia"/>
          <w:b/>
          <w:iCs/>
          <w:sz w:val="24"/>
          <w:szCs w:val="18"/>
          <w:highlight w:val="none"/>
        </w:rPr>
        <w:t>R3-230647</w:t>
      </w:r>
    </w:p>
    <w:p>
      <w:pPr>
        <w:spacing w:after="0"/>
        <w:jc w:val="both"/>
        <w:rPr>
          <w:rFonts w:cs="Arial"/>
          <w:b/>
          <w:bCs/>
          <w:sz w:val="24"/>
          <w:szCs w:val="24"/>
        </w:rPr>
      </w:pPr>
      <w:r>
        <w:rPr>
          <w:rFonts w:hint="eastAsia" w:cs="Arial"/>
          <w:b/>
          <w:bCs/>
          <w:sz w:val="24"/>
          <w:szCs w:val="24"/>
        </w:rPr>
        <w:t>Athens , GR，27th February –3rd March,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9"/>
      <w:bookmarkStart w:id="1" w:name="OLE_LINK8"/>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0"/>
      <w:bookmarkEnd w:id="1"/>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Background</w:t>
      </w:r>
    </w:p>
    <w:p>
      <w:pPr>
        <w:pStyle w:val="2"/>
        <w:numPr>
          <w:ilvl w:val="1"/>
          <w:numId w:val="3"/>
        </w:numPr>
        <w:rPr>
          <w:rFonts w:eastAsia="宋体" w:cs="Arial"/>
          <w:sz w:val="32"/>
          <w:szCs w:val="32"/>
          <w:lang w:eastAsia="zh-CN"/>
        </w:rPr>
      </w:pPr>
      <w:r>
        <w:rPr>
          <w:rFonts w:hint="eastAsia" w:eastAsia="宋体" w:cs="Arial"/>
          <w:sz w:val="32"/>
          <w:szCs w:val="32"/>
          <w:lang w:eastAsia="zh-CN"/>
        </w:rPr>
        <w:t>Scope and objectives</w:t>
      </w:r>
    </w:p>
    <w:p>
      <w:pPr>
        <w:spacing w:before="120" w:line="280" w:lineRule="atLeast"/>
        <w:rPr>
          <w:rFonts w:ascii="Times New Roman" w:hAnsi="Times New Roman" w:eastAsia="宋体"/>
        </w:rPr>
      </w:pPr>
      <w:bookmarkStart w:id="2" w:name="OLE_LINK1"/>
      <w:bookmarkStart w:id="3" w:name="OLE_LINK2"/>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4"/>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4"/>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5"/>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6"/>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6"/>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 xml:space="preserve">2.2 </w:t>
      </w:r>
      <w:r>
        <w:rPr>
          <w:rFonts w:hint="eastAsia" w:eastAsia="宋体"/>
          <w:lang w:eastAsia="zh-CN"/>
        </w:rPr>
        <w:tab/>
      </w:r>
      <w:r>
        <w:rPr>
          <w:rFonts w:hint="eastAsia"/>
          <w:lang w:eastAsia="zh-CN"/>
        </w:rPr>
        <w:t>Time budget</w:t>
      </w:r>
    </w:p>
    <w:bookmarkEnd w:id="2"/>
    <w:bookmarkEnd w:id="3"/>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numPr>
          <w:ilvl w:val="1"/>
          <w:numId w:val="7"/>
        </w:numPr>
        <w:rPr>
          <w:rFonts w:eastAsia="宋体"/>
          <w:lang w:eastAsia="zh-CN"/>
        </w:rPr>
      </w:pP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8"/>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8"/>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4" w:name="OLE_LINK3"/>
      <w:r>
        <w:rPr>
          <w:rFonts w:ascii="Times New Roman" w:hAnsi="Times New Roman" w:eastAsia="宋体"/>
          <w:lang w:eastAsia="zh-CN"/>
        </w:rPr>
        <w:t xml:space="preserve">fulfil </w:t>
      </w:r>
      <w:bookmarkEnd w:id="4"/>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9"/>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9"/>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numPr>
          <w:ilvl w:val="0"/>
          <w:numId w:val="7"/>
        </w:numPr>
        <w:rPr>
          <w:rFonts w:eastAsia="宋体" w:cs="Arial"/>
          <w:sz w:val="32"/>
          <w:szCs w:val="32"/>
          <w:lang w:eastAsia="zh-CN"/>
        </w:rPr>
      </w:pPr>
      <w:r>
        <w:rPr>
          <w:rFonts w:hint="eastAsia" w:eastAsia="宋体" w:cs="Arial"/>
          <w:sz w:val="32"/>
          <w:szCs w:val="32"/>
          <w:lang w:eastAsia="zh-CN"/>
        </w:rPr>
        <w:t>Work plan</w:t>
      </w:r>
    </w:p>
    <w:p>
      <w:pPr>
        <w:pStyle w:val="3"/>
        <w:numPr>
          <w:ilvl w:val="1"/>
          <w:numId w:val="10"/>
        </w:numPr>
        <w:rPr>
          <w:rFonts w:eastAsiaTheme="minorEastAsia"/>
          <w:lang w:eastAsia="zh-CN"/>
        </w:rPr>
      </w:pPr>
      <w:r>
        <w:rPr>
          <w:rFonts w:hint="eastAsia" w:eastAsia="宋体"/>
          <w:lang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highlight w:val="none"/>
              </w:rPr>
            </w:pPr>
            <w:r>
              <w:rPr>
                <w:rFonts w:hint="eastAsia" w:ascii="Calibri" w:hAnsi="Calibri" w:cs="Calibri"/>
                <w:bCs/>
                <w:color w:val="008000"/>
                <w:sz w:val="18"/>
                <w:highlight w:val="none"/>
              </w:rPr>
              <w:t>WA: Support inter-RAT SHR from LTE to NR at least for T304 if no impact on LTE.</w:t>
            </w:r>
          </w:p>
          <w:p>
            <w:pPr>
              <w:rPr>
                <w:rFonts w:ascii="Calibri" w:hAnsi="Calibri" w:eastAsia="宋体" w:cs="Calibri"/>
                <w:color w:val="008000"/>
                <w:sz w:val="18"/>
                <w:szCs w:val="18"/>
                <w:lang w:eastAsia="zh-CN"/>
              </w:rPr>
            </w:pPr>
          </w:p>
          <w:p>
            <w:pPr>
              <w:widowControl w:val="0"/>
              <w:rPr>
                <w:rFonts w:ascii="Calibri" w:hAnsi="Calibri" w:eastAsia="宋体" w:cs="Calibri"/>
                <w:color w:val="008000"/>
                <w:sz w:val="18"/>
                <w:szCs w:val="18"/>
                <w:lang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11"/>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6"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12"/>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highlight w:val="none"/>
              </w:rPr>
            </w:pPr>
            <w:r>
              <w:rPr>
                <w:rFonts w:hint="eastAsia" w:ascii="Calibri" w:hAnsi="Calibri" w:cs="Calibri"/>
                <w:bCs/>
                <w:color w:val="008000"/>
                <w:sz w:val="18"/>
                <w:szCs w:val="24"/>
                <w:highlight w:val="none"/>
              </w:rPr>
              <w:t>SPR as abbreviation for Successful PScell Change Report feature.</w:t>
            </w:r>
          </w:p>
          <w:p>
            <w:pPr>
              <w:rPr>
                <w:rFonts w:ascii="Calibri" w:hAnsi="Calibri" w:cs="Calibri"/>
                <w:bCs/>
                <w:color w:val="008000"/>
                <w:sz w:val="18"/>
                <w:szCs w:val="24"/>
                <w:highlight w:val="none"/>
                <w:lang w:eastAsia="zh-CN"/>
              </w:rPr>
            </w:pPr>
            <w:r>
              <w:rPr>
                <w:rFonts w:ascii="Calibri" w:hAnsi="Calibri" w:cs="Calibri"/>
                <w:bCs/>
                <w:color w:val="008000"/>
                <w:sz w:val="18"/>
                <w:highlight w:val="none"/>
              </w:rPr>
              <w:t>For SN-initiated classic PScell change the source SN node decides the</w:t>
            </w:r>
            <w:r>
              <w:rPr>
                <w:rFonts w:hint="eastAsia" w:ascii="Calibri" w:hAnsi="Calibri" w:cs="Calibri"/>
                <w:bCs/>
                <w:color w:val="008000"/>
                <w:sz w:val="18"/>
                <w:highlight w:val="none"/>
              </w:rPr>
              <w:t xml:space="preserve"> T310/T312</w:t>
            </w:r>
            <w:r>
              <w:rPr>
                <w:rFonts w:ascii="Calibri" w:hAnsi="Calibri" w:cs="Calibri"/>
                <w:bCs/>
                <w:color w:val="008000"/>
                <w:sz w:val="18"/>
                <w:highlight w:val="none"/>
              </w:rPr>
              <w:t xml:space="preserve"> triggers </w:t>
            </w:r>
            <w:r>
              <w:rPr>
                <w:rFonts w:hint="eastAsia" w:ascii="Calibri" w:hAnsi="Calibri" w:cs="Calibri"/>
                <w:bCs/>
                <w:color w:val="008000"/>
                <w:sz w:val="18"/>
                <w:highlight w:val="none"/>
              </w:rPr>
              <w:t xml:space="preserve">(e.g timer threshold) and </w:t>
            </w:r>
            <w:r>
              <w:rPr>
                <w:rFonts w:ascii="Calibri" w:hAnsi="Calibri" w:cs="Calibri"/>
                <w:bCs/>
                <w:color w:val="008000"/>
                <w:sz w:val="18"/>
                <w:highlight w:val="none"/>
              </w:rPr>
              <w:t xml:space="preserve">the </w:t>
            </w:r>
            <w:r>
              <w:rPr>
                <w:rFonts w:hint="eastAsia" w:ascii="Calibri" w:hAnsi="Calibri" w:cs="Calibri"/>
                <w:bCs/>
                <w:color w:val="008000"/>
                <w:sz w:val="18"/>
                <w:highlight w:val="none"/>
              </w:rPr>
              <w:t xml:space="preserve">target </w:t>
            </w:r>
            <w:r>
              <w:rPr>
                <w:rFonts w:ascii="Calibri" w:hAnsi="Calibri" w:cs="Calibri"/>
                <w:bCs/>
                <w:color w:val="008000"/>
                <w:sz w:val="18"/>
                <w:highlight w:val="none"/>
              </w:rPr>
              <w:t>SN node decides the</w:t>
            </w:r>
            <w:r>
              <w:rPr>
                <w:rFonts w:hint="eastAsia" w:ascii="Calibri" w:hAnsi="Calibri" w:cs="Calibri"/>
                <w:bCs/>
                <w:color w:val="008000"/>
                <w:sz w:val="18"/>
                <w:highlight w:val="none"/>
              </w:rPr>
              <w:t xml:space="preserve"> T304</w:t>
            </w:r>
            <w:r>
              <w:rPr>
                <w:rFonts w:ascii="Calibri" w:hAnsi="Calibri" w:cs="Calibri"/>
                <w:bCs/>
                <w:color w:val="008000"/>
                <w:sz w:val="18"/>
                <w:highlight w:val="none"/>
              </w:rPr>
              <w:t xml:space="preserve"> triggers </w:t>
            </w:r>
            <w:r>
              <w:rPr>
                <w:rFonts w:hint="eastAsia" w:ascii="Calibri" w:hAnsi="Calibri" w:cs="Calibri"/>
                <w:bCs/>
                <w:color w:val="008000"/>
                <w:sz w:val="18"/>
                <w:highlight w:val="none"/>
              </w:rPr>
              <w:t xml:space="preserve">(e.g timer threshold). </w:t>
            </w:r>
          </w:p>
          <w:p>
            <w:pPr>
              <w:pStyle w:val="81"/>
              <w:numPr>
                <w:ilvl w:val="0"/>
                <w:numId w:val="13"/>
              </w:numPr>
              <w:spacing w:after="120" w:line="256" w:lineRule="auto"/>
              <w:rPr>
                <w:rFonts w:ascii="Calibri" w:hAnsi="Calibri" w:cs="Calibri"/>
                <w:i/>
                <w:iCs/>
                <w:color w:val="008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iv: CHO-CPC coexistence scenarios with low priority.</w:t>
            </w:r>
          </w:p>
          <w:p>
            <w:pPr>
              <w:rPr>
                <w:rFonts w:ascii="Calibri" w:hAnsi="Calibri" w:eastAsia="等线" w:cs="Calibri"/>
                <w:bCs/>
                <w:color w:val="008000"/>
                <w:sz w:val="18"/>
                <w:lang w:eastAsia="zh-CN"/>
              </w:rPr>
            </w:pPr>
            <w:r>
              <w:rPr>
                <w:rFonts w:hint="eastAsia" w:ascii="Calibri" w:hAnsi="Calibri" w:cs="Calibri"/>
                <w:bCs/>
                <w:color w:val="008000"/>
                <w:sz w:val="18"/>
                <w:highlight w:val="none"/>
              </w:rPr>
              <w:t>Too Early CPA Execution will be considered</w:t>
            </w:r>
            <w:r>
              <w:rPr>
                <w:rFonts w:ascii="Calibri" w:hAnsi="Calibri" w:cs="Calibri"/>
                <w:bCs/>
                <w:color w:val="008000"/>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4"/>
              </w:numPr>
              <w:spacing w:after="120" w:line="256" w:lineRule="auto"/>
              <w:rPr>
                <w:rFonts w:ascii="Calibri" w:hAnsi="Calibri" w:eastAsia="MS Mincho" w:cs="Calibri"/>
                <w:color w:val="008000"/>
                <w:sz w:val="18"/>
                <w:szCs w:val="18"/>
                <w:lang w:val="en-GB" w:eastAsia="en-US"/>
              </w:rPr>
            </w:pPr>
            <w:bookmarkStart w:id="5"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4"/>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4"/>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ascii="Calibri" w:hAnsi="Calibri" w:cs="Calibri"/>
                <w:color w:val="008000"/>
                <w:sz w:val="18"/>
                <w:szCs w:val="18"/>
              </w:rPr>
            </w:pPr>
            <w:r>
              <w:rPr>
                <w:rFonts w:hint="eastAsia" w:ascii="Calibri" w:hAnsi="Calibri" w:cs="Calibri"/>
                <w:bCs/>
                <w:color w:val="008000"/>
                <w:sz w:val="18"/>
                <w:highlight w:val="none"/>
              </w:rPr>
              <w:t>It is beneficial for the UE to report at least the cause of the fast MCG recovery failure (at least T316 expiry, SCG failure) and also, if the problem is SCG failure, the SCG failure type (at least t310-Expiry, randomAccessProblem, rlc-MaxNumRetx).</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lang w:eastAsia="zh-CN"/>
              </w:rPr>
            </w:pPr>
            <w:r>
              <w:rPr>
                <w:rFonts w:ascii="Calibri" w:hAnsi="Calibri" w:eastAsia="等线" w:cs="Calibri"/>
                <w:bCs/>
                <w:color w:val="008000"/>
                <w:sz w:val="18"/>
              </w:rPr>
              <w:t>Turn the WA into an agreement: The RLF Report needs to indicate that the last failed inter-system inter-RAT HO was triggered due to voice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highlight w:val="none"/>
              </w:rPr>
            </w:pPr>
            <w:r>
              <w:rPr>
                <w:rFonts w:hint="eastAsia" w:ascii="Calibri" w:hAnsi="Calibri" w:cs="Calibri"/>
                <w:color w:val="008000"/>
                <w:sz w:val="18"/>
                <w:szCs w:val="18"/>
                <w:highlight w:val="none"/>
              </w:rPr>
              <w:t>Scenarios</w:t>
            </w:r>
          </w:p>
          <w:p>
            <w:pPr>
              <w:pStyle w:val="81"/>
              <w:numPr>
                <w:ilvl w:val="0"/>
                <w:numId w:val="15"/>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RACH optimization for feature or feature combinations involving RACH partitioning (SDT, RedCap, Coverage Enhancement, network slicing, …)</w:t>
            </w:r>
          </w:p>
          <w:p>
            <w:pPr>
              <w:pStyle w:val="81"/>
              <w:numPr>
                <w:ilvl w:val="0"/>
                <w:numId w:val="15"/>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RACH report retrieval</w:t>
            </w:r>
          </w:p>
          <w:p>
            <w:pPr>
              <w:pStyle w:val="81"/>
              <w:numPr>
                <w:ilvl w:val="0"/>
                <w:numId w:val="15"/>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SN RACH report in MR-DC</w:t>
            </w:r>
          </w:p>
          <w:p>
            <w:pPr>
              <w:pStyle w:val="81"/>
              <w:spacing w:after="120" w:line="256" w:lineRule="auto"/>
              <w:rPr>
                <w:rFonts w:ascii="Calibri" w:hAnsi="Calibri" w:cs="Calibri"/>
                <w:color w:val="008000"/>
                <w:sz w:val="18"/>
                <w:szCs w:val="18"/>
                <w:highlight w:val="none"/>
              </w:rPr>
            </w:pPr>
          </w:p>
          <w:p>
            <w:pPr>
              <w:pStyle w:val="81"/>
              <w:spacing w:after="120" w:line="256" w:lineRule="auto"/>
              <w:ind w:left="0"/>
              <w:rPr>
                <w:rFonts w:ascii="Calibri" w:hAnsi="Calibri" w:cs="Calibri"/>
                <w:color w:val="008000"/>
                <w:sz w:val="18"/>
                <w:szCs w:val="18"/>
                <w:highlight w:val="none"/>
                <w:u w:val="single"/>
              </w:rPr>
            </w:pPr>
            <w:r>
              <w:rPr>
                <w:rFonts w:hint="eastAsia" w:ascii="Calibri" w:hAnsi="Calibri" w:cs="Calibri"/>
                <w:color w:val="008000"/>
                <w:sz w:val="18"/>
                <w:szCs w:val="18"/>
                <w:highlight w:val="none"/>
                <w:u w:val="single"/>
              </w:rPr>
              <w:t>RACH report retrieval:</w:t>
            </w:r>
          </w:p>
          <w:p>
            <w:pPr>
              <w:numPr>
                <w:ilvl w:val="0"/>
                <w:numId w:val="16"/>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WA: RAN3 works on the network based solution for RACH report retrieval, i.e., gNB-DU indicates to gNB-CU about RACH occurrence</w:t>
            </w:r>
          </w:p>
          <w:p>
            <w:pPr>
              <w:numPr>
                <w:ilvl w:val="0"/>
                <w:numId w:val="16"/>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 xml:space="preserve">WA: SN should indicate the potential availability of RA report to the MN, MN can fetch the RA report and transfer it to SN. </w:t>
            </w:r>
          </w:p>
          <w:p>
            <w:pPr>
              <w:numPr>
                <w:ilvl w:val="0"/>
                <w:numId w:val="16"/>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Send LS to RAN2 with RAN3 assumption and ask RAN2 to provide feedback on UE based solution</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ascii="Calibri" w:hAnsi="Calibri" w:cs="Calibri"/>
                <w:bCs/>
                <w:color w:val="008000"/>
                <w:sz w:val="18"/>
                <w:szCs w:val="18"/>
                <w:highlight w:val="none"/>
              </w:rPr>
            </w:pPr>
            <w:r>
              <w:rPr>
                <w:rFonts w:ascii="Calibri" w:hAnsi="Calibri" w:cs="Calibri"/>
                <w:bCs/>
                <w:color w:val="008000"/>
                <w:sz w:val="18"/>
                <w:highlight w:val="none"/>
              </w:rPr>
              <w:t>Define a new class-2 F1AP message (e.g., RACH INDICATION) to indicate certain RACH occurrence(s) from gNB-DU to gNB-CU</w:t>
            </w:r>
          </w:p>
          <w:p>
            <w:pPr>
              <w:pStyle w:val="81"/>
              <w:spacing w:after="120" w:line="256" w:lineRule="auto"/>
              <w:ind w:left="0"/>
              <w:rPr>
                <w:rFonts w:ascii="Calibri" w:hAnsi="Calibri" w:cs="Calibri"/>
                <w:color w:val="008000"/>
                <w:sz w:val="18"/>
                <w:szCs w:val="18"/>
                <w:highlight w:val="none"/>
                <w:u w:val="single"/>
              </w:rPr>
            </w:pPr>
            <w:r>
              <w:rPr>
                <w:rFonts w:ascii="Calibri" w:hAnsi="Calibri" w:cs="Calibri"/>
                <w:color w:val="008000"/>
                <w:sz w:val="18"/>
                <w:szCs w:val="18"/>
                <w:highlight w:val="none"/>
                <w:u w:val="single"/>
              </w:rPr>
              <w:t>SN RACH report in MR-DC</w:t>
            </w:r>
          </w:p>
          <w:p>
            <w:pPr>
              <w:rPr>
                <w:rFonts w:ascii="Calibri" w:hAnsi="Calibri" w:cs="Calibri"/>
                <w:bCs/>
                <w:color w:val="008000"/>
                <w:sz w:val="18"/>
                <w:highlight w:val="none"/>
              </w:rPr>
            </w:pPr>
            <w:r>
              <w:rPr>
                <w:rFonts w:ascii="Calibri" w:hAnsi="Calibri" w:cs="Calibri"/>
                <w:bCs/>
                <w:color w:val="008000"/>
                <w:sz w:val="18"/>
                <w:highlight w:val="none"/>
              </w:rPr>
              <w:t>RAN3 has supported EN-DC, (NG)EN-DC, and NR-DC scenarios in Rel-17. No further work will be triggered in RAN3.</w:t>
            </w:r>
          </w:p>
          <w:p>
            <w:pPr>
              <w:rPr>
                <w:rFonts w:ascii="Calibri" w:hAnsi="Calibri" w:cs="Calibri"/>
                <w:bCs/>
                <w:color w:val="008000"/>
                <w:sz w:val="18"/>
                <w:highlight w:val="none"/>
              </w:rPr>
            </w:pPr>
            <w:r>
              <w:rPr>
                <w:rFonts w:ascii="Calibri" w:hAnsi="Calibri" w:cs="Calibri"/>
                <w:bCs/>
                <w:color w:val="008000"/>
                <w:sz w:val="18"/>
                <w:highlight w:val="none"/>
              </w:rPr>
              <w:t>If RAN2 decides to support SN RA Report for EN-DC and (NG)EN-DC, UE should report the PScell identity outside the RACH report to help the network forward the report to the correct node.</w:t>
            </w:r>
          </w:p>
          <w:p>
            <w:pPr>
              <w:pStyle w:val="81"/>
              <w:spacing w:after="120" w:line="256" w:lineRule="auto"/>
              <w:ind w:left="0"/>
              <w:rPr>
                <w:rFonts w:ascii="Calibri" w:hAnsi="Calibri" w:cs="Calibri"/>
                <w:sz w:val="18"/>
                <w:szCs w:val="18"/>
                <w:highlight w:val="none"/>
                <w:lang w:val="en-GB"/>
              </w:rPr>
            </w:pPr>
            <w:r>
              <w:rPr>
                <w:rFonts w:hint="eastAsia" w:ascii="Calibri" w:hAnsi="Calibri" w:cs="Calibri"/>
                <w:sz w:val="18"/>
                <w:szCs w:val="18"/>
                <w:highlight w:val="none"/>
                <w:lang w:val="en-GB"/>
              </w:rPr>
              <w:t xml:space="preserve">Reply LS to RAN2 on </w:t>
            </w:r>
            <w:r>
              <w:rPr>
                <w:rFonts w:ascii="Calibri" w:hAnsi="Calibri" w:cs="Calibri"/>
                <w:sz w:val="18"/>
                <w:szCs w:val="18"/>
                <w:highlight w:val="none"/>
              </w:rPr>
              <w:t>SN RACH report in MR-DC</w:t>
            </w:r>
            <w:r>
              <w:rPr>
                <w:rFonts w:hint="eastAsia" w:ascii="Calibri" w:hAnsi="Calibri" w:cs="Calibri"/>
                <w:sz w:val="18"/>
                <w:szCs w:val="18"/>
                <w:highlight w:val="none"/>
              </w:rPr>
              <w:t xml:space="preserve"> is agreed</w:t>
            </w:r>
          </w:p>
          <w:p>
            <w:pPr>
              <w:pStyle w:val="81"/>
              <w:spacing w:after="120" w:line="256" w:lineRule="auto"/>
              <w:ind w:left="0"/>
              <w:rPr>
                <w:rFonts w:ascii="Calibri" w:hAnsi="Calibri" w:cs="Calibri"/>
                <w:color w:val="008000"/>
                <w:sz w:val="18"/>
                <w:szCs w:val="18"/>
                <w:highlight w:val="none"/>
                <w:u w:val="single"/>
              </w:rPr>
            </w:pPr>
          </w:p>
          <w:p>
            <w:pPr>
              <w:pStyle w:val="81"/>
              <w:spacing w:after="120" w:line="256" w:lineRule="auto"/>
              <w:ind w:left="0"/>
              <w:rPr>
                <w:rFonts w:ascii="Calibri" w:hAnsi="Calibri" w:cs="Calibri"/>
                <w:color w:val="008000"/>
                <w:sz w:val="18"/>
                <w:szCs w:val="18"/>
                <w:highlight w:val="none"/>
                <w:u w:val="single"/>
              </w:rPr>
            </w:pPr>
            <w:r>
              <w:rPr>
                <w:rFonts w:ascii="Calibri" w:hAnsi="Calibri" w:cs="Calibri"/>
                <w:color w:val="008000"/>
                <w:sz w:val="18"/>
                <w:szCs w:val="18"/>
                <w:highlight w:val="none"/>
                <w:u w:val="single"/>
              </w:rPr>
              <w:t>RACH optimization for feature or feature combinations</w:t>
            </w:r>
          </w:p>
          <w:p>
            <w:pPr>
              <w:pStyle w:val="81"/>
              <w:spacing w:after="120" w:line="256" w:lineRule="auto"/>
              <w:ind w:left="0"/>
              <w:rPr>
                <w:rFonts w:ascii="Calibri" w:hAnsi="Calibri" w:cs="Calibri"/>
                <w:bCs/>
                <w:color w:val="008000"/>
                <w:sz w:val="18"/>
                <w:highlight w:val="none"/>
              </w:rPr>
            </w:pPr>
            <w:r>
              <w:rPr>
                <w:rFonts w:ascii="Calibri" w:hAnsi="Calibri" w:cs="Calibri"/>
                <w:bCs/>
                <w:color w:val="008000"/>
                <w:sz w:val="18"/>
                <w:highlight w:val="none"/>
              </w:rPr>
              <w:t>RA report is enhanced to include feature combination related information</w:t>
            </w:r>
            <w:r>
              <w:rPr>
                <w:rFonts w:hint="eastAsia" w:ascii="Calibri" w:hAnsi="Calibri" w:cs="Calibri"/>
                <w:bCs/>
                <w:color w:val="008000"/>
                <w:sz w:val="18"/>
                <w:highlight w:val="none"/>
              </w:rPr>
              <w:t>.</w:t>
            </w:r>
          </w:p>
          <w:p>
            <w:pPr>
              <w:pStyle w:val="81"/>
              <w:spacing w:after="120" w:line="256" w:lineRule="auto"/>
              <w:ind w:left="0"/>
              <w:rPr>
                <w:rFonts w:ascii="Calibri" w:hAnsi="Calibri" w:cs="Calibri"/>
                <w:color w:val="008000"/>
                <w:sz w:val="18"/>
                <w:szCs w:val="18"/>
                <w:highlight w:val="none"/>
                <w:u w:val="single"/>
              </w:rPr>
            </w:pPr>
          </w:p>
          <w:p>
            <w:pPr>
              <w:rPr>
                <w:rFonts w:ascii="Calibri" w:hAnsi="Calibri" w:eastAsia="等线" w:cs="Calibri"/>
                <w:bCs/>
                <w:color w:val="008000"/>
                <w:sz w:val="18"/>
                <w:highlight w:val="none"/>
              </w:rPr>
            </w:pPr>
            <w:r>
              <w:rPr>
                <w:rFonts w:ascii="Calibri" w:hAnsi="Calibri" w:eastAsia="等线" w:cs="Calibri"/>
                <w:bCs/>
                <w:color w:val="008000"/>
                <w:sz w:val="18"/>
                <w:highlight w:val="none"/>
              </w:rPr>
              <w:t>SN should indicate the potential availability of RA report to the MN, MN can fetch the RA report and transfer it to SN</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Define a new class-2 message (e.g., RACH INDICATION) over Xn so that the S-NG-RAN can inform M-NG-RAN that one or more RACH reports are available at the UE.</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The new Xn message should be non-UE associated.</w:t>
            </w:r>
          </w:p>
          <w:p>
            <w:pPr>
              <w:rPr>
                <w:rFonts w:ascii="Calibri" w:hAnsi="Calibri" w:cs="Calibri"/>
                <w:color w:val="008000"/>
                <w:sz w:val="18"/>
                <w:szCs w:val="18"/>
                <w:highlight w:val="none"/>
                <w:u w:val="single"/>
              </w:rPr>
            </w:pPr>
            <w:r>
              <w:rPr>
                <w:rFonts w:ascii="Calibri" w:hAnsi="Calibri" w:eastAsia="等线" w:cs="Calibri"/>
                <w:bCs/>
                <w:color w:val="008000"/>
                <w:sz w:val="18"/>
                <w:highlight w:val="none"/>
              </w:rPr>
              <w:t>XnAP and F1AP TPs</w:t>
            </w:r>
            <w:r>
              <w:rPr>
                <w:rFonts w:hint="eastAsia" w:ascii="Calibri" w:hAnsi="Calibri" w:eastAsia="等线" w:cs="Calibri"/>
                <w:bCs/>
                <w:color w:val="008000"/>
                <w:sz w:val="18"/>
                <w:highlight w:val="none"/>
                <w:lang w:eastAsia="zh-CN"/>
              </w:rPr>
              <w:t xml:space="preserve"> agreed</w:t>
            </w:r>
            <w:r>
              <w:rPr>
                <w:rFonts w:ascii="Calibri" w:hAnsi="Calibri" w:eastAsia="等线" w:cs="Calibri"/>
                <w:bCs/>
                <w:color w:val="008000"/>
                <w:sz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2"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highlight w:val="none"/>
              </w:rPr>
            </w:pPr>
            <w:r>
              <w:rPr>
                <w:rFonts w:ascii="Calibri" w:hAnsi="Calibri" w:cs="Calibri"/>
                <w:bCs/>
                <w:color w:val="008000"/>
                <w:sz w:val="18"/>
                <w:szCs w:val="24"/>
                <w:highlight w:val="none"/>
              </w:rPr>
              <w:t>Wait SA3's response for NPN user consent to check if any RAN3 impact</w:t>
            </w:r>
            <w:r>
              <w:rPr>
                <w:rFonts w:hint="eastAsia" w:ascii="Calibri" w:hAnsi="Calibri" w:eastAsia="等线" w:cs="Calibri"/>
                <w:bCs/>
                <w:color w:val="008000"/>
                <w:sz w:val="18"/>
                <w:szCs w:val="24"/>
                <w:highlight w:val="none"/>
              </w:rPr>
              <w:t>.</w:t>
            </w:r>
          </w:p>
          <w:p>
            <w:pPr>
              <w:rPr>
                <w:rFonts w:ascii="Calibri" w:hAnsi="Calibri" w:cs="Calibri"/>
                <w:bCs/>
                <w:color w:val="008000"/>
                <w:sz w:val="18"/>
                <w:szCs w:val="24"/>
                <w:highlight w:val="none"/>
              </w:rPr>
            </w:pPr>
            <w:r>
              <w:rPr>
                <w:rFonts w:ascii="Calibri" w:hAnsi="Calibri" w:cs="Calibri"/>
                <w:bCs/>
                <w:color w:val="008000"/>
                <w:sz w:val="18"/>
                <w:szCs w:val="24"/>
                <w:highlight w:val="none"/>
              </w:rPr>
              <w:t>The use cases RAN3 should support are:</w:t>
            </w:r>
          </w:p>
          <w:p>
            <w:pPr>
              <w:rPr>
                <w:rFonts w:ascii="Calibri" w:hAnsi="Calibri" w:cs="Calibri"/>
                <w:bCs/>
                <w:color w:val="008000"/>
                <w:sz w:val="18"/>
                <w:szCs w:val="24"/>
                <w:highlight w:val="none"/>
              </w:rPr>
            </w:pPr>
            <w:r>
              <w:rPr>
                <w:rFonts w:ascii="Calibri" w:hAnsi="Calibri" w:cs="Calibri"/>
                <w:bCs/>
                <w:color w:val="008000"/>
                <w:sz w:val="18"/>
                <w:szCs w:val="24"/>
                <w:highlight w:val="none"/>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highlight w:val="none"/>
              </w:rPr>
            </w:pPr>
            <w:r>
              <w:rPr>
                <w:rFonts w:ascii="Calibri" w:hAnsi="Calibri" w:cs="Calibri"/>
                <w:bCs/>
                <w:color w:val="008000"/>
                <w:sz w:val="18"/>
                <w:szCs w:val="24"/>
                <w:highlight w:val="none"/>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highlight w:val="none"/>
              </w:rPr>
            </w:pPr>
            <w:r>
              <w:rPr>
                <w:rFonts w:ascii="Calibri" w:hAnsi="Calibri" w:cs="Calibri"/>
                <w:bCs/>
                <w:color w:val="008000"/>
                <w:sz w:val="18"/>
                <w:highlight w:val="none"/>
              </w:rPr>
              <w:t>Agree to the addition of a CAG list inside and outside the current choice structure for the MDT Area Scope. Further enhancements are FFS</w:t>
            </w:r>
          </w:p>
          <w:p>
            <w:pPr>
              <w:rPr>
                <w:rFonts w:ascii="Calibri" w:hAnsi="Calibri" w:cs="Calibri"/>
                <w:bCs/>
                <w:color w:val="008000"/>
                <w:sz w:val="18"/>
                <w:szCs w:val="18"/>
                <w:highlight w:val="none"/>
              </w:rPr>
            </w:pPr>
            <w:r>
              <w:rPr>
                <w:rFonts w:ascii="Calibri" w:hAnsi="Calibri" w:cs="Calibri"/>
                <w:bCs/>
                <w:color w:val="008000"/>
                <w:sz w:val="18"/>
                <w:szCs w:val="18"/>
                <w:highlight w:val="none"/>
              </w:rPr>
              <w:t>RAN3 to focus on the following use case for SNPN and to continue discussions on how to address MDT Area Scope for specific cells or TAs of an SNPN:</w:t>
            </w:r>
          </w:p>
          <w:p>
            <w:pPr>
              <w:rPr>
                <w:rFonts w:ascii="Calibri" w:hAnsi="Calibri" w:cs="Calibri"/>
                <w:bCs/>
                <w:color w:val="008000"/>
                <w:sz w:val="18"/>
                <w:highlight w:val="yellow"/>
                <w:lang w:eastAsia="zh-CN"/>
              </w:rPr>
            </w:pPr>
            <w:r>
              <w:rPr>
                <w:rFonts w:ascii="Calibri" w:hAnsi="Calibri" w:cs="Calibri"/>
                <w:bCs/>
                <w:color w:val="008000"/>
                <w:sz w:val="18"/>
                <w:szCs w:val="18"/>
                <w:highlight w:val="none"/>
              </w:rPr>
              <w:t xml:space="preserve">Use Case 3: Enable collection of MDT measurements in the SNPN where the UE is registered.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8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pStyle w:val="81"/>
              <w:spacing w:beforeLines="100" w:beforeAutospacing="0" w:after="240"/>
              <w:ind w:left="400" w:leftChars="200"/>
              <w:rPr>
                <w:rFonts w:ascii="Calibri" w:hAnsi="Calibri" w:cs="Calibri"/>
                <w:color w:val="008000"/>
                <w:sz w:val="18"/>
                <w:szCs w:val="18"/>
                <w:u w:val="single"/>
              </w:rPr>
            </w:pP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cs="Calibri"/>
                <w:bCs/>
                <w:color w:val="008000"/>
                <w:sz w:val="18"/>
                <w:lang w:eastAsia="zh-CN"/>
              </w:rPr>
            </w:pPr>
            <w:r>
              <w:rPr>
                <w:rFonts w:ascii="Calibri" w:hAnsi="Calibri" w:eastAsia="宋体" w:cs="Calibri"/>
                <w:color w:val="000000"/>
                <w:sz w:val="18"/>
                <w:szCs w:val="18"/>
                <w:highlight w:val="none"/>
                <w:lang w:val="en-US"/>
              </w:rPr>
              <w:t xml:space="preserve">Reply LS in </w:t>
            </w:r>
            <w:r>
              <w:rPr>
                <w:highlight w:val="none"/>
              </w:rPr>
              <w:fldChar w:fldCharType="begin"/>
            </w:r>
            <w:r>
              <w:rPr>
                <w:highlight w:val="none"/>
              </w:rPr>
              <w:instrText xml:space="preserve"> HYPERLINK "file:///C:\\Users\\cmcc\\Documents\\WeChat%20Files\\liangzai936046\\FileStorage\\File\\2022-11\\Inbox\\R3-226809.zip" </w:instrText>
            </w:r>
            <w:r>
              <w:rPr>
                <w:highlight w:val="none"/>
              </w:rPr>
              <w:fldChar w:fldCharType="separate"/>
            </w:r>
            <w:r>
              <w:rPr>
                <w:rFonts w:ascii="Calibri" w:hAnsi="Calibri" w:eastAsia="宋体" w:cs="Calibri"/>
                <w:color w:val="000000"/>
                <w:sz w:val="18"/>
                <w:szCs w:val="18"/>
                <w:highlight w:val="none"/>
                <w:lang w:val="en-US"/>
              </w:rPr>
              <w:t>R3-226809</w:t>
            </w:r>
            <w:r>
              <w:rPr>
                <w:rFonts w:ascii="Calibri" w:hAnsi="Calibri" w:eastAsia="宋体" w:cs="Calibri"/>
                <w:color w:val="000000"/>
                <w:sz w:val="18"/>
                <w:szCs w:val="18"/>
                <w:highlight w:val="none"/>
                <w:lang w:val="en-US"/>
              </w:rPr>
              <w:fldChar w:fldCharType="end"/>
            </w:r>
            <w:r>
              <w:rPr>
                <w:rFonts w:ascii="Calibri" w:hAnsi="Calibri" w:eastAsia="宋体" w:cs="Calibri"/>
                <w:color w:val="000000"/>
                <w:sz w:val="18"/>
                <w:szCs w:val="18"/>
                <w:highlight w:val="none"/>
                <w:lang w:val="en-US"/>
              </w:rPr>
              <w:t xml:space="preserv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eastAsia="TimesNewRomanPSMT" w:cs="Calibri"/>
                <w:color w:val="008000"/>
                <w:sz w:val="18"/>
                <w:szCs w:val="18"/>
                <w:lang w:eastAsia="zh-CN"/>
              </w:rPr>
            </w:pPr>
            <w:r>
              <w:rPr>
                <w:rFonts w:ascii="Calibri" w:hAnsi="Calibri" w:cs="Calibri"/>
                <w:b/>
                <w:color w:val="008000"/>
                <w:sz w:val="18"/>
                <w:szCs w:val="18"/>
              </w:rPr>
              <w:t>No need to send LS to RAN2 for supporting the reverse use case.</w:t>
            </w:r>
          </w:p>
        </w:tc>
      </w:tr>
    </w:tbl>
    <w:p>
      <w:pPr>
        <w:rPr>
          <w:rFonts w:eastAsiaTheme="minorEastAsia"/>
          <w:lang w:eastAsia="zh-CN"/>
        </w:rPr>
      </w:pPr>
    </w:p>
    <w:p>
      <w:pPr>
        <w:pStyle w:val="3"/>
        <w:numPr>
          <w:ilvl w:val="1"/>
          <w:numId w:val="10"/>
        </w:numPr>
        <w:rPr>
          <w:rFonts w:eastAsia="宋体"/>
          <w:highlight w:val="none"/>
          <w:lang w:eastAsia="zh-CN"/>
        </w:rPr>
      </w:pPr>
      <w:r>
        <w:rPr>
          <w:rFonts w:hint="eastAsia" w:eastAsiaTheme="minorEastAsia"/>
          <w:lang w:eastAsia="zh-CN"/>
        </w:rPr>
        <w:t>Way forward for RAN3 #</w:t>
      </w:r>
      <w:r>
        <w:rPr>
          <w:rFonts w:hint="eastAsia" w:eastAsiaTheme="minorEastAsia"/>
          <w:highlight w:val="none"/>
          <w:lang w:eastAsia="zh-CN"/>
        </w:rPr>
        <w:t>11</w:t>
      </w:r>
      <w:r>
        <w:rPr>
          <w:rFonts w:eastAsiaTheme="minorEastAsia"/>
          <w:highlight w:val="none"/>
          <w:lang w:val="en-US" w:eastAsia="zh-CN"/>
        </w:rPr>
        <w:t>9</w:t>
      </w:r>
      <w:r>
        <w:rPr>
          <w:rFonts w:hint="eastAsia" w:eastAsiaTheme="minorEastAsia"/>
          <w:highlight w:val="none"/>
          <w:lang w:eastAsia="zh-CN"/>
        </w:rPr>
        <w:t xml:space="preserve"> meeting</w:t>
      </w:r>
    </w:p>
    <w:p>
      <w:pPr>
        <w:jc w:val="both"/>
        <w:rPr>
          <w:rFonts w:ascii="Times New Roman" w:hAnsi="Times New Roman" w:eastAsiaTheme="minorEastAsia"/>
          <w:highlight w:val="none"/>
          <w:lang w:eastAsia="zh-CN"/>
        </w:rPr>
      </w:pPr>
      <w:r>
        <w:rPr>
          <w:rFonts w:hint="eastAsia" w:ascii="Times New Roman" w:hAnsi="Times New Roman" w:eastAsiaTheme="minorEastAsia"/>
          <w:highlight w:val="none"/>
          <w:lang w:eastAsia="zh-CN"/>
        </w:rPr>
        <w:t xml:space="preserve">According to the progress of RAN3 and RAN2 in August meeting, the </w:t>
      </w:r>
      <w:r>
        <w:rPr>
          <w:rFonts w:ascii="Times New Roman" w:hAnsi="Times New Roman" w:eastAsiaTheme="minorEastAsia"/>
          <w:highlight w:val="none"/>
          <w:lang w:eastAsia="zh-CN"/>
        </w:rPr>
        <w:t>following</w:t>
      </w:r>
      <w:r>
        <w:rPr>
          <w:rFonts w:hint="eastAsia" w:ascii="Times New Roman" w:hAnsi="Times New Roman" w:eastAsiaTheme="minorEastAsia"/>
          <w:highlight w:val="none"/>
          <w:lang w:eastAsia="zh-CN"/>
        </w:rPr>
        <w:t xml:space="preserve"> topics can be focused at RAN3 #11</w:t>
      </w:r>
      <w:r>
        <w:rPr>
          <w:rFonts w:ascii="Times New Roman" w:hAnsi="Times New Roman" w:eastAsiaTheme="minorEastAsia"/>
          <w:highlight w:val="none"/>
          <w:lang w:val="en-US" w:eastAsia="zh-CN"/>
        </w:rPr>
        <w:t>9</w:t>
      </w:r>
      <w:r>
        <w:rPr>
          <w:rFonts w:hint="eastAsia" w:ascii="Times New Roman" w:hAnsi="Times New Roman" w:eastAsiaTheme="minorEastAsia"/>
          <w:highlight w:val="none"/>
          <w:lang w:eastAsia="zh-CN"/>
        </w:rPr>
        <w:t xml:space="preserve"> meeting,</w:t>
      </w:r>
    </w:p>
    <w:p>
      <w:pPr>
        <w:pStyle w:val="61"/>
        <w:numPr>
          <w:ilvl w:val="0"/>
          <w:numId w:val="17"/>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I</w:t>
      </w:r>
      <w:r>
        <w:rPr>
          <w:rFonts w:hint="eastAsia" w:ascii="Times New Roman" w:hAnsi="Times New Roman" w:eastAsiaTheme="minorEastAsia"/>
          <w:sz w:val="20"/>
          <w:szCs w:val="20"/>
          <w:lang w:eastAsia="zh-CN"/>
        </w:rPr>
        <w:t xml:space="preserve">nter-RAT </w:t>
      </w:r>
      <w:r>
        <w:rPr>
          <w:rFonts w:ascii="Times New Roman" w:hAnsi="Times New Roman" w:eastAsiaTheme="minorEastAsia"/>
          <w:sz w:val="20"/>
          <w:szCs w:val="20"/>
          <w:lang w:eastAsia="zh-CN"/>
        </w:rPr>
        <w:t>SHR and SPR</w:t>
      </w:r>
    </w:p>
    <w:p>
      <w:pPr>
        <w:pStyle w:val="61"/>
        <w:numPr>
          <w:ilvl w:val="0"/>
          <w:numId w:val="17"/>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enhancement</w:t>
      </w:r>
    </w:p>
    <w:p>
      <w:pPr>
        <w:pStyle w:val="61"/>
        <w:numPr>
          <w:ilvl w:val="1"/>
          <w:numId w:val="17"/>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CPAC</w:t>
      </w:r>
    </w:p>
    <w:p>
      <w:pPr>
        <w:pStyle w:val="61"/>
        <w:numPr>
          <w:ilvl w:val="1"/>
          <w:numId w:val="17"/>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fast MCG recovery</w:t>
      </w:r>
    </w:p>
    <w:p>
      <w:pPr>
        <w:pStyle w:val="61"/>
        <w:numPr>
          <w:ilvl w:val="1"/>
          <w:numId w:val="17"/>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inter-system voice fallback</w:t>
      </w:r>
    </w:p>
    <w:p>
      <w:pPr>
        <w:pStyle w:val="61"/>
        <w:numPr>
          <w:ilvl w:val="0"/>
          <w:numId w:val="17"/>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RACH enhancements</w:t>
      </w:r>
      <w:r>
        <w:rPr>
          <w:rFonts w:hint="eastAsia" w:ascii="Times New Roman" w:hAnsi="Times New Roman" w:eastAsiaTheme="minorEastAsia"/>
          <w:sz w:val="20"/>
          <w:szCs w:val="20"/>
          <w:lang w:eastAsia="zh-CN"/>
        </w:rPr>
        <w:t xml:space="preserve"> (not much left, could focus on</w:t>
      </w:r>
      <w:r>
        <w:rPr>
          <w:rFonts w:hint="default" w:ascii="Times New Roman" w:hAnsi="Times New Roman" w:eastAsiaTheme="minorEastAsia"/>
          <w:sz w:val="20"/>
          <w:szCs w:val="20"/>
          <w:lang w:val="en-US" w:eastAsia="zh-CN"/>
        </w:rPr>
        <w:t xml:space="preserve"> </w:t>
      </w:r>
      <w:bookmarkStart w:id="6" w:name="_GoBack"/>
      <w:bookmarkEnd w:id="6"/>
      <w:r>
        <w:rPr>
          <w:rFonts w:ascii="Times New Roman" w:hAnsi="Times New Roman" w:eastAsiaTheme="minorEastAsia"/>
          <w:sz w:val="20"/>
          <w:szCs w:val="20"/>
          <w:lang w:eastAsia="zh-CN"/>
        </w:rPr>
        <w:t>RACH optimization for feature or feature combinations</w:t>
      </w:r>
      <w:r>
        <w:rPr>
          <w:rFonts w:hint="eastAsia" w:ascii="Times New Roman" w:hAnsi="Times New Roman" w:eastAsiaTheme="minorEastAsia"/>
          <w:sz w:val="20"/>
          <w:szCs w:val="20"/>
          <w:lang w:eastAsia="zh-CN"/>
        </w:rPr>
        <w:t>)</w:t>
      </w:r>
    </w:p>
    <w:p>
      <w:pPr>
        <w:pStyle w:val="61"/>
        <w:numPr>
          <w:ilvl w:val="0"/>
          <w:numId w:val="17"/>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Non-Public Networks</w:t>
      </w:r>
    </w:p>
    <w:p>
      <w:pPr>
        <w:pStyle w:val="61"/>
        <w:numPr>
          <w:ilvl w:val="0"/>
          <w:numId w:val="17"/>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w:t>
      </w:r>
      <w:r>
        <w:rPr>
          <w:rFonts w:hint="eastAsia" w:ascii="Times New Roman" w:hAnsi="Times New Roman" w:eastAsiaTheme="minorEastAsia"/>
          <w:sz w:val="20"/>
          <w:szCs w:val="20"/>
          <w:lang w:eastAsia="zh-CN"/>
        </w:rPr>
        <w:t>R-U</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F0870"/>
    <w:multiLevelType w:val="multilevel"/>
    <w:tmpl w:val="03AF0870"/>
    <w:lvl w:ilvl="0" w:tentative="0">
      <w:start w:val="2"/>
      <w:numFmt w:val="decimal"/>
      <w:lvlText w:val="%1"/>
      <w:lvlJc w:val="left"/>
      <w:pPr>
        <w:ind w:left="456" w:hanging="456"/>
      </w:pPr>
      <w:rPr>
        <w:rFonts w:hint="default"/>
      </w:rPr>
    </w:lvl>
    <w:lvl w:ilvl="1" w:tentative="0">
      <w:start w:val="3"/>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1">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EE108C8"/>
    <w:multiLevelType w:val="multilevel"/>
    <w:tmpl w:val="3EE108C8"/>
    <w:lvl w:ilvl="0" w:tentative="0">
      <w:start w:val="2"/>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AC94B4C"/>
    <w:multiLevelType w:val="multilevel"/>
    <w:tmpl w:val="4AC94B4C"/>
    <w:lvl w:ilvl="0" w:tentative="0">
      <w:start w:val="1"/>
      <w:numFmt w:val="decimal"/>
      <w:lvlText w:val="%1)"/>
      <w:lvlJc w:val="left"/>
      <w:pPr>
        <w:ind w:left="720" w:hanging="360"/>
      </w:pPr>
      <w:rPr>
        <w:rFonts w:hint="default" w:ascii="Times New Roman" w:hAnsi="Times New Roman" w:cs="Times New Roman"/>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1">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3">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6">
    <w:nsid w:val="793A6B4A"/>
    <w:multiLevelType w:val="multilevel"/>
    <w:tmpl w:val="793A6B4A"/>
    <w:lvl w:ilvl="0" w:tentative="0">
      <w:start w:val="3"/>
      <w:numFmt w:val="decimal"/>
      <w:lvlText w:val="%1"/>
      <w:lvlJc w:val="left"/>
      <w:pPr>
        <w:ind w:left="456" w:hanging="456"/>
      </w:pPr>
      <w:rPr>
        <w:rFonts w:hint="default" w:eastAsiaTheme="minorEastAsia"/>
      </w:rPr>
    </w:lvl>
    <w:lvl w:ilvl="1" w:tentative="0">
      <w:start w:val="1"/>
      <w:numFmt w:val="decimal"/>
      <w:lvlText w:val="%1.%2"/>
      <w:lvlJc w:val="left"/>
      <w:pPr>
        <w:ind w:left="720" w:hanging="720"/>
      </w:pPr>
      <w:rPr>
        <w:rFonts w:hint="default" w:eastAsiaTheme="minorEastAsia"/>
      </w:rPr>
    </w:lvl>
    <w:lvl w:ilvl="2" w:tentative="0">
      <w:start w:val="1"/>
      <w:numFmt w:val="decimal"/>
      <w:lvlText w:val="%1.%2.%3"/>
      <w:lvlJc w:val="left"/>
      <w:pPr>
        <w:ind w:left="720" w:hanging="720"/>
      </w:pPr>
      <w:rPr>
        <w:rFonts w:hint="default" w:eastAsiaTheme="minorEastAsia"/>
      </w:rPr>
    </w:lvl>
    <w:lvl w:ilvl="3" w:tentative="0">
      <w:start w:val="1"/>
      <w:numFmt w:val="decimal"/>
      <w:lvlText w:val="%1.%2.%3.%4"/>
      <w:lvlJc w:val="left"/>
      <w:pPr>
        <w:ind w:left="1080" w:hanging="1080"/>
      </w:pPr>
      <w:rPr>
        <w:rFonts w:hint="default" w:eastAsiaTheme="minorEastAsia"/>
      </w:rPr>
    </w:lvl>
    <w:lvl w:ilvl="4" w:tentative="0">
      <w:start w:val="1"/>
      <w:numFmt w:val="decimal"/>
      <w:lvlText w:val="%1.%2.%3.%4.%5"/>
      <w:lvlJc w:val="left"/>
      <w:pPr>
        <w:ind w:left="1440" w:hanging="1440"/>
      </w:pPr>
      <w:rPr>
        <w:rFonts w:hint="default" w:eastAsiaTheme="minorEastAsia"/>
      </w:rPr>
    </w:lvl>
    <w:lvl w:ilvl="5" w:tentative="0">
      <w:start w:val="1"/>
      <w:numFmt w:val="decimal"/>
      <w:lvlText w:val="%1.%2.%3.%4.%5.%6"/>
      <w:lvlJc w:val="left"/>
      <w:pPr>
        <w:ind w:left="1800" w:hanging="1800"/>
      </w:pPr>
      <w:rPr>
        <w:rFonts w:hint="default" w:eastAsiaTheme="minorEastAsia"/>
      </w:rPr>
    </w:lvl>
    <w:lvl w:ilvl="6" w:tentative="0">
      <w:start w:val="1"/>
      <w:numFmt w:val="decimal"/>
      <w:lvlText w:val="%1.%2.%3.%4.%5.%6.%7"/>
      <w:lvlJc w:val="left"/>
      <w:pPr>
        <w:ind w:left="1800" w:hanging="1800"/>
      </w:pPr>
      <w:rPr>
        <w:rFonts w:hint="default" w:eastAsiaTheme="minorEastAsia"/>
      </w:rPr>
    </w:lvl>
    <w:lvl w:ilvl="7" w:tentative="0">
      <w:start w:val="1"/>
      <w:numFmt w:val="decimal"/>
      <w:lvlText w:val="%1.%2.%3.%4.%5.%6.%7.%8"/>
      <w:lvlJc w:val="left"/>
      <w:pPr>
        <w:ind w:left="2160" w:hanging="2160"/>
      </w:pPr>
      <w:rPr>
        <w:rFonts w:hint="default" w:eastAsiaTheme="minorEastAsia"/>
      </w:rPr>
    </w:lvl>
    <w:lvl w:ilvl="8" w:tentative="0">
      <w:start w:val="1"/>
      <w:numFmt w:val="decimal"/>
      <w:lvlText w:val="%1.%2.%3.%4.%5.%6.%7.%8.%9"/>
      <w:lvlJc w:val="left"/>
      <w:pPr>
        <w:ind w:left="2520" w:hanging="2520"/>
      </w:pPr>
      <w:rPr>
        <w:rFonts w:hint="default" w:eastAsiaTheme="minorEastAsia"/>
      </w:rPr>
    </w:lvl>
  </w:abstractNum>
  <w:num w:numId="1">
    <w:abstractNumId w:val="6"/>
  </w:num>
  <w:num w:numId="2">
    <w:abstractNumId w:val="11"/>
  </w:num>
  <w:num w:numId="3">
    <w:abstractNumId w:val="7"/>
  </w:num>
  <w:num w:numId="4">
    <w:abstractNumId w:val="15"/>
  </w:num>
  <w:num w:numId="5">
    <w:abstractNumId w:val="1"/>
  </w:num>
  <w:num w:numId="6">
    <w:abstractNumId w:val="13"/>
  </w:num>
  <w:num w:numId="7">
    <w:abstractNumId w:val="0"/>
  </w:num>
  <w:num w:numId="8">
    <w:abstractNumId w:val="5"/>
  </w:num>
  <w:num w:numId="9">
    <w:abstractNumId w:val="8"/>
  </w:num>
  <w:num w:numId="10">
    <w:abstractNumId w:val="16"/>
  </w:num>
  <w:num w:numId="11">
    <w:abstractNumId w:val="1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28292A68"/>
    <w:rsid w:val="37985B61"/>
    <w:rsid w:val="51B13E95"/>
    <w:rsid w:val="5AEE394A"/>
    <w:rsid w:val="62CA69F8"/>
    <w:rsid w:val="64F56248"/>
    <w:rsid w:val="68EC2153"/>
    <w:rsid w:val="794F3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06C58-FD65-48E8-A104-71E8CC1465A3}">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7</Pages>
  <Words>2644</Words>
  <Characters>15074</Characters>
  <Lines>125</Lines>
  <Paragraphs>35</Paragraphs>
  <TotalTime>8</TotalTime>
  <ScaleCrop>false</ScaleCrop>
  <LinksUpToDate>false</LinksUpToDate>
  <CharactersWithSpaces>17683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2023-02-17T03:42:00Z</dcterms:created>
  <dc:creator>CMCC</dc:creator>
  <cp:lastModifiedBy>CMCC</cp:lastModifiedBy>
  <dcterms:modified xsi:type="dcterms:W3CDTF">2023-02-17T03:59:55Z</dcterms:modified>
  <dc:title>3GPP TSG-RAN WG3 Meeting #96bis NR Adhoc</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F608A42326644B1096AD33D01093C884</vt:lpwstr>
  </property>
</Properties>
</file>